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E4258" w14:textId="77777777" w:rsidR="00724F5D" w:rsidRDefault="00724F5D" w:rsidP="003C6403">
      <w:pPr>
        <w:spacing w:after="0"/>
        <w:rPr>
          <w:rFonts w:eastAsiaTheme="majorEastAsia" w:cstheme="majorBidi"/>
          <w:b/>
          <w:kern w:val="3"/>
          <w:sz w:val="32"/>
          <w:szCs w:val="26"/>
          <w:lang w:val="cs-CZ" w:eastAsia="cs-CZ"/>
        </w:rPr>
      </w:pPr>
    </w:p>
    <w:p w14:paraId="3C0407DB" w14:textId="77777777" w:rsidR="00724F5D" w:rsidRPr="00724F5D" w:rsidRDefault="00724F5D" w:rsidP="003C6403">
      <w:pPr>
        <w:spacing w:after="0"/>
        <w:rPr>
          <w:rFonts w:ascii="Times New Roman" w:eastAsiaTheme="majorEastAsia" w:hAnsi="Times New Roman" w:cs="Times New Roman"/>
          <w:b/>
          <w:kern w:val="3"/>
          <w:sz w:val="24"/>
          <w:szCs w:val="24"/>
          <w:lang w:val="cs-CZ" w:eastAsia="cs-CZ"/>
        </w:rPr>
      </w:pPr>
    </w:p>
    <w:p w14:paraId="613BFB85" w14:textId="10E1A142" w:rsidR="00D61D5C" w:rsidRPr="00724F5D" w:rsidRDefault="00D61D5C" w:rsidP="00724F5D">
      <w:pPr>
        <w:spacing w:after="0"/>
        <w:jc w:val="center"/>
        <w:rPr>
          <w:rFonts w:ascii="Times New Roman" w:eastAsiaTheme="majorEastAsia" w:hAnsi="Times New Roman" w:cs="Times New Roman"/>
          <w:b/>
          <w:kern w:val="3"/>
          <w:sz w:val="32"/>
          <w:szCs w:val="32"/>
          <w:lang w:val="cs-CZ" w:eastAsia="cs-CZ"/>
        </w:rPr>
      </w:pPr>
      <w:r w:rsidRPr="00724F5D">
        <w:rPr>
          <w:rFonts w:ascii="Times New Roman" w:eastAsiaTheme="majorEastAsia" w:hAnsi="Times New Roman" w:cs="Times New Roman"/>
          <w:b/>
          <w:kern w:val="3"/>
          <w:sz w:val="32"/>
          <w:szCs w:val="32"/>
          <w:lang w:val="cs-CZ" w:eastAsia="cs-CZ"/>
        </w:rPr>
        <w:t>Věstonická Venuše:</w:t>
      </w:r>
      <w:r w:rsidR="00724F5D">
        <w:rPr>
          <w:rFonts w:ascii="Times New Roman" w:eastAsiaTheme="majorEastAsia" w:hAnsi="Times New Roman" w:cs="Times New Roman"/>
          <w:b/>
          <w:kern w:val="3"/>
          <w:sz w:val="32"/>
          <w:szCs w:val="32"/>
          <w:lang w:val="cs-CZ" w:eastAsia="cs-CZ"/>
        </w:rPr>
        <w:t xml:space="preserve"> „Data jsou skvělá,“ říká věděc</w:t>
      </w:r>
    </w:p>
    <w:p w14:paraId="7560707F" w14:textId="3F9F24E0" w:rsidR="00091AB1" w:rsidRPr="00724F5D" w:rsidRDefault="00D61D5C" w:rsidP="00724F5D">
      <w:pPr>
        <w:spacing w:after="0"/>
        <w:jc w:val="center"/>
        <w:rPr>
          <w:rFonts w:ascii="Times New Roman" w:eastAsiaTheme="majorEastAsia" w:hAnsi="Times New Roman" w:cs="Times New Roman"/>
          <w:b/>
          <w:color w:val="FF6600"/>
          <w:kern w:val="3"/>
          <w:sz w:val="28"/>
          <w:szCs w:val="28"/>
          <w:lang w:val="cs-CZ" w:eastAsia="cs-CZ"/>
        </w:rPr>
      </w:pPr>
      <w:r w:rsidRPr="00724F5D">
        <w:rPr>
          <w:rFonts w:ascii="Times New Roman" w:eastAsiaTheme="majorEastAsia" w:hAnsi="Times New Roman" w:cs="Times New Roman"/>
          <w:b/>
          <w:kern w:val="3"/>
          <w:sz w:val="28"/>
          <w:szCs w:val="28"/>
          <w:lang w:val="cs-CZ" w:eastAsia="cs-CZ"/>
        </w:rPr>
        <w:t xml:space="preserve">Takovou dávku </w:t>
      </w:r>
      <w:r w:rsidR="00724F5D">
        <w:rPr>
          <w:rFonts w:ascii="Times New Roman" w:eastAsiaTheme="majorEastAsia" w:hAnsi="Times New Roman" w:cs="Times New Roman"/>
          <w:b/>
          <w:kern w:val="3"/>
          <w:sz w:val="28"/>
          <w:szCs w:val="28"/>
          <w:lang w:val="cs-CZ" w:eastAsia="cs-CZ"/>
        </w:rPr>
        <w:t>rentgenu by ale člověk nepřežil</w:t>
      </w:r>
    </w:p>
    <w:p w14:paraId="0FC8C109" w14:textId="77777777" w:rsidR="009A2C6F" w:rsidRPr="00724F5D" w:rsidRDefault="009A2C6F" w:rsidP="003C6403">
      <w:pPr>
        <w:spacing w:after="0"/>
        <w:rPr>
          <w:rFonts w:ascii="Times New Roman" w:eastAsiaTheme="majorEastAsia" w:hAnsi="Times New Roman" w:cs="Times New Roman"/>
          <w:b/>
          <w:color w:val="FF6600"/>
          <w:kern w:val="3"/>
          <w:sz w:val="24"/>
          <w:szCs w:val="24"/>
          <w:lang w:val="cs-CZ" w:eastAsia="cs-CZ"/>
        </w:rPr>
      </w:pPr>
    </w:p>
    <w:p w14:paraId="1E595F5F" w14:textId="21CB9F65" w:rsidR="00E6487F" w:rsidRPr="00724F5D" w:rsidRDefault="00D61D5C" w:rsidP="003C6403">
      <w:pPr>
        <w:spacing w:after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</w:pPr>
      <w:r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>Skenování Věstonické venuše přineslo 80</w:t>
      </w:r>
      <w:r w:rsidR="00550C33"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 xml:space="preserve"> </w:t>
      </w:r>
      <w:r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>GB kvalitních</w:t>
      </w:r>
      <w:r w:rsidR="00D55B7F"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 xml:space="preserve"> dat</w:t>
      </w:r>
      <w:r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 xml:space="preserve"> pro další analýzu. Soška </w:t>
      </w:r>
      <w:r w:rsidR="00D55B7F"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>stará a</w:t>
      </w:r>
      <w:r w:rsidR="00AD127D"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>si</w:t>
      </w:r>
      <w:r w:rsidR="00D55B7F"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 xml:space="preserve"> </w:t>
      </w:r>
      <w:r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 xml:space="preserve">29 000 let prošla skenem, který by lidské tělo nevydrželo. </w:t>
      </w:r>
      <w:r w:rsidR="009D39A6"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>Stálo to za to</w:t>
      </w:r>
      <w:r w:rsidRPr="00724F5D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cs-CZ" w:eastAsia="cs-CZ"/>
        </w:rPr>
        <w:t>. Vědci se těší na nové poznatky, na které dosud „neviděli“.</w:t>
      </w:r>
    </w:p>
    <w:p w14:paraId="27EBB5BC" w14:textId="3744755D" w:rsidR="003D4983" w:rsidRPr="00724F5D" w:rsidRDefault="003D4983" w:rsidP="00D7328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F3A19FA" w14:textId="7D353DDE" w:rsidR="00752F10" w:rsidRPr="00724F5D" w:rsidRDefault="00752F10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Věstonická venuše, </w:t>
      </w:r>
      <w:r w:rsidR="00FF112A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soška stará 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a</w:t>
      </w:r>
      <w:r w:rsidR="00AD127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si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29 000 let, </w:t>
      </w:r>
      <w:r w:rsidR="00763EAA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jedna z nejvýznamnějších archeologických památek na našem území, 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se </w:t>
      </w:r>
      <w:r w:rsidR="0012409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v polovině srpna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vydala z utajeného sejfu </w:t>
      </w:r>
      <w:r w:rsidR="00763EAA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Moravského zemského muzea 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na mimořádné zkoumání ve výpočetním tomografu společnosti FEI. Ta je známá především vývojem a výrobou elektronových mikroskopů.</w:t>
      </w:r>
      <w:r w:rsidR="00FF112A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</w:t>
      </w:r>
      <w:r w:rsidR="0012409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„Přístroj HeliScan jsme začlenili do portfolia FEI teprve nedávno. </w:t>
      </w:r>
      <w:r w:rsidR="00E27031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Vznikají u nás </w:t>
      </w:r>
      <w:bookmarkStart w:id="0" w:name="_GoBack"/>
      <w:r w:rsidR="00E27031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špičkové přístroje světové úrovně</w:t>
      </w:r>
      <w:bookmarkEnd w:id="0"/>
      <w:r w:rsidR="00E27031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a p</w:t>
      </w:r>
      <w:r w:rsidR="0012409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ři návštěvě muzea nás napadlo, že by archeologům mohl</w:t>
      </w:r>
      <w:r w:rsidR="00E27031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y</w:t>
      </w:r>
      <w:r w:rsidR="0012409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pomoci nalézt odpovědi na jejich otázky, proto jsme jim </w:t>
      </w:r>
      <w:r w:rsidR="00E27031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nabídli spolupráci</w:t>
      </w:r>
      <w:r w:rsidR="0012409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. Pro nás je také odborně zajímavé zkoumat podobný objekt, celý projekt </w:t>
      </w:r>
      <w:r w:rsidR="00E27031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přitom </w:t>
      </w:r>
      <w:r w:rsidR="0012409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stojí pouze čas obou stran,“ vysvětluje Jiří Očadlík, ředitel společnosti FEI Company. </w:t>
      </w:r>
    </w:p>
    <w:p w14:paraId="17A65F3B" w14:textId="2B6C9D63" w:rsidR="00763EAA" w:rsidRPr="00724F5D" w:rsidRDefault="00763EAA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První fáze současného výzkumu, tedy oskenování venuše, zabralo vědcům téměř 15 hodin, přičemž venuše s</w:t>
      </w:r>
      <w:r w:rsidR="00AD127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e skenovala ve dvou fázích – hor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ní a spodní část sošky zvlášť</w:t>
      </w:r>
      <w:r w:rsidR="00550C33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.  N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yní budou pomocí výkonného počítače data</w:t>
      </w:r>
      <w:r w:rsidR="00550C33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spojována. Vědci jsou s prozati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mním průběhem více než spokojeni: „Skenování proběhlo dle očekávání a data, která jsme získali</w:t>
      </w:r>
      <w:r w:rsidR="00D15397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,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vypadají velmi dobře. Dávají nám velmi dobrý vstupní </w:t>
      </w:r>
      <w:r w:rsidR="00AD127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základ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</w:t>
      </w:r>
      <w:r w:rsid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pro další analýzy,“ uvedl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Petr Neruda, kurátor </w:t>
      </w:r>
      <w:r w:rsidR="00AD127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paleolitických 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sbírek Moravského zemského muzea.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</w:t>
      </w:r>
    </w:p>
    <w:p w14:paraId="3569B00D" w14:textId="63D75119" w:rsidR="006C4C04" w:rsidRPr="00724F5D" w:rsidRDefault="00550C33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Se soškou venuše došlo součas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ně k oskenování dvou fa</w:t>
      </w:r>
      <w:r w:rsidR="00D61D5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ntomů – vzorků známých materiálů, které budou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nyní porovnáván</w:t>
      </w:r>
      <w:r w:rsidR="00D61D5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y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</w:t>
      </w:r>
      <w:r w:rsidR="00D61D5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s materiálem, ze kterého je vyrobena venuše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. „Postupným porovnáváním budeme, jak doufáme, schopni určit složení materiálu, ze kterého byla venuše vypálena</w:t>
      </w:r>
      <w:r w:rsidR="00AA7E6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,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“ řekl Neruda. </w:t>
      </w:r>
      <w:r w:rsidR="00AA7E6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Jak bude tato fáze dlouhá záleží na tom, kolik vzorků materiálu bude ještě potřeba oskenovat a porovnat. Vědci odhadují, že jim tato fáze a následná analýza zabere týdny.</w:t>
      </w:r>
    </w:p>
    <w:p w14:paraId="2A82CA66" w14:textId="2F56B318" w:rsidR="00AA7E6C" w:rsidRPr="00724F5D" w:rsidRDefault="00AA7E6C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Kromě složení zajímají </w:t>
      </w:r>
      <w:r w:rsidR="003B68F3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odborníky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i praskliny</w:t>
      </w:r>
      <w:r w:rsidR="00AD127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, kterých je vidět více než dřív a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mohou způsobit vědcům z muzea těžkou hlavu. „Budeme muset zvážit další postup při uchování venuše a případně upravit režim a podmínky, za jakých bude opouštět prostředí sbírek,“ doplňuje Petr Neruda.</w:t>
      </w:r>
    </w:p>
    <w:p w14:paraId="01AE26E4" w14:textId="77777777" w:rsidR="00724F5D" w:rsidRPr="00724F5D" w:rsidRDefault="00724F5D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</w:p>
    <w:p w14:paraId="1116B380" w14:textId="77777777" w:rsidR="00724F5D" w:rsidRPr="00724F5D" w:rsidRDefault="00724F5D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</w:p>
    <w:p w14:paraId="00DEB523" w14:textId="77777777" w:rsidR="00724F5D" w:rsidRDefault="00724F5D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</w:p>
    <w:p w14:paraId="54575521" w14:textId="7AD7AED7" w:rsidR="006C4C04" w:rsidRPr="00724F5D" w:rsidRDefault="00AA7E6C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Ani samotná analýza není triviální záležitostí – skenováním bylo pořízeno přibližně 80 GB dat. 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Přístroj</w:t>
      </w:r>
      <w:r w:rsidR="006C4C04" w:rsidRPr="00724F5D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cs-CZ" w:eastAsia="cs-CZ"/>
        </w:rPr>
        <w:t xml:space="preserve"> HeliScan™ MicroCT, za pomocí kterého je soška nyní zkoumána, 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byl představen v loňském roce a primárně slouží pro těžební průmysl, kde umožňuje podrobnou analýzu struktury a propustnosti hornin. Během skenování vzorku pořídí přístroj v závislosti na velikosti vzorku desítky tisíc snímků. Data jsou převedena do clusteru, který je zpětně poskládá a vytvoří tak trojrozměrnou vizualizaci vzorku s rozlišením v řádu mikrometrů. Cluster je počítač tvořený několika samostatnými počítači. V tomto případě jde o 4</w:t>
      </w:r>
      <w:r w:rsidR="00854CAA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výkonné počítačové jednotky s 96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procesory s</w:t>
      </w:r>
      <w:r w:rsidR="00854CAA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 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2</w:t>
      </w:r>
      <w:r w:rsidR="00854CAA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</w:t>
      </w:r>
      <w:r w:rsidR="006C4C04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TB operační paměti.</w:t>
      </w:r>
    </w:p>
    <w:p w14:paraId="736DD9A1" w14:textId="0941FD18" w:rsidR="00C167A4" w:rsidRDefault="00AA7E6C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Venu</w:t>
      </w:r>
      <w:r w:rsidR="009C070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še byla již v minulosti zkoumána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pomocí medicínského CT, které ovšem </w:t>
      </w:r>
      <w:r w:rsidR="00C167A4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ve srovnání s HeliScanem nedosah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uje tak vysokého rozlišení. To je mj. </w:t>
      </w:r>
      <w:r w:rsidR="00751BF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u</w:t>
      </w:r>
      <w:r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možněno vyšší dávkou</w:t>
      </w:r>
      <w:r w:rsidR="00751BF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rentgenového záření. </w:t>
      </w:r>
      <w:r w:rsidR="00E42660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„Už jenom delším pobytem v přístroji </w:t>
      </w:r>
      <w:r w:rsidR="000C7CB2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byla</w:t>
      </w:r>
      <w:r w:rsidR="00E42660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soška vystavena 1000krát větší dávce rentgenového záření než v případě medicinského CT. Člově</w:t>
      </w:r>
      <w:r w:rsidR="00AD127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k</w:t>
      </w:r>
      <w:r w:rsidR="00E42660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a by taková dávka zabila,” uvádí Zuzana Patáková, systémová inženýrka společnosti FEI. Takové záření by totiž v živých buňkách uvolnilo vodu a tím také kyslík, čímž by se nabouraly buněčné struktury. </w:t>
      </w:r>
      <w:r w:rsidR="00751BF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Riziko, že by nyní byla </w:t>
      </w:r>
      <w:r w:rsidR="00FE6EE3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vzácná soška</w:t>
      </w:r>
      <w:r w:rsidR="00751BF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zdraví nebezpečná</w:t>
      </w:r>
      <w:r w:rsidR="00FE6EE3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,</w:t>
      </w:r>
      <w:r w:rsidR="00751BF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však nehrozí. „Velká část rentgenového záření soškou projde, část se absorbuje a přemění na teplo</w:t>
      </w:r>
      <w:r w:rsidR="00AD127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, jehož množství však sošku nijak neohrožuje</w:t>
      </w:r>
      <w:r w:rsidR="00751BF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. Předmět ozářený rentgenem po vypnutí primárního zdroje, kterým byl ozářen, sám o sobě nezáří,“ </w:t>
      </w:r>
      <w:r w:rsidR="00A04E89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uklidňuje</w:t>
      </w:r>
      <w:r w:rsidR="00C167A4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 </w:t>
      </w:r>
      <w:r w:rsidR="00E42660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Patáková. </w:t>
      </w:r>
      <w:r w:rsidR="00D61D5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C</w:t>
      </w:r>
      <w:r w:rsidR="00E42660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elý přístroj </w:t>
      </w:r>
      <w:r w:rsidR="00D61D5C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je navíc </w:t>
      </w:r>
      <w:r w:rsidR="00E42660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stín</w:t>
      </w:r>
      <w:r w:rsidR="00AD127D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>ě</w:t>
      </w:r>
      <w:r w:rsidR="00E42660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n olovem tak, aby na jeho povrchu nebyla dávka vyšší než 1µSv/h. Pro srovnání – člověk v bezprostřední blízkosti přístroje může být během skenování vystaven o polovinu menší dávce, než kdyby </w:t>
      </w:r>
      <w:r w:rsidR="00C167A4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letěl letadlem na trase </w:t>
      </w:r>
      <w:r w:rsidR="00E42660" w:rsidRPr="00724F5D"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  <w:t xml:space="preserve">New York – Tokio. </w:t>
      </w:r>
    </w:p>
    <w:p w14:paraId="5CED1A4E" w14:textId="3AE41CC4" w:rsidR="00C167A4" w:rsidRDefault="00C167A4" w:rsidP="00C167A4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</w:p>
    <w:p w14:paraId="186DED08" w14:textId="77777777" w:rsidR="00C167A4" w:rsidRDefault="00C167A4" w:rsidP="00C167A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</w:p>
    <w:p w14:paraId="2B1EEDFC" w14:textId="77777777" w:rsidR="00305352" w:rsidRPr="00F043C5" w:rsidRDefault="00305352" w:rsidP="00F043C5">
      <w:pPr>
        <w:spacing w:after="0"/>
        <w:jc w:val="both"/>
        <w:rPr>
          <w:rFonts w:ascii="Times New Roman" w:eastAsia="Lucida Sans Unicode" w:hAnsi="Times New Roman" w:cs="Times New Roman"/>
          <w:b/>
          <w:kern w:val="3"/>
          <w:szCs w:val="24"/>
          <w:lang w:val="cs-CZ" w:eastAsia="cs-CZ"/>
        </w:rPr>
      </w:pPr>
      <w:r w:rsidRPr="00F043C5">
        <w:rPr>
          <w:rFonts w:ascii="Times New Roman" w:eastAsia="Lucida Sans Unicode" w:hAnsi="Times New Roman" w:cs="Times New Roman"/>
          <w:b/>
          <w:kern w:val="3"/>
          <w:szCs w:val="24"/>
          <w:lang w:val="cs-CZ" w:eastAsia="cs-CZ"/>
        </w:rPr>
        <w:t>Kontakty pro tisk:</w:t>
      </w:r>
    </w:p>
    <w:p w14:paraId="5C9C9CD5" w14:textId="77777777" w:rsidR="00305352" w:rsidRPr="00F043C5" w:rsidRDefault="00305352" w:rsidP="00F043C5">
      <w:pPr>
        <w:spacing w:after="0"/>
        <w:jc w:val="both"/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</w:pPr>
      <w:r w:rsidRPr="00F043C5"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  <w:t xml:space="preserve">Doc. PhDr. Martin Oliva, Ph.D. D.Sc. – vedoucí Ústavu Antrhopos Historického muzea Moravského zemského muzea – </w:t>
      </w:r>
      <w:hyperlink r:id="rId9" w:history="1">
        <w:r w:rsidRPr="00F043C5">
          <w:rPr>
            <w:rFonts w:ascii="Times New Roman" w:eastAsia="Lucida Sans Unicode" w:hAnsi="Times New Roman" w:cs="Times New Roman"/>
            <w:kern w:val="3"/>
            <w:szCs w:val="24"/>
            <w:lang w:val="cs-CZ" w:eastAsia="cs-CZ"/>
          </w:rPr>
          <w:t>moliva@mzm.cz</w:t>
        </w:r>
      </w:hyperlink>
      <w:r w:rsidRPr="00F043C5"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  <w:t>, 533 435 224</w:t>
      </w:r>
    </w:p>
    <w:p w14:paraId="7F3991BC" w14:textId="77777777" w:rsidR="00305352" w:rsidRPr="00F043C5" w:rsidRDefault="00305352" w:rsidP="00F043C5">
      <w:pPr>
        <w:spacing w:after="0"/>
        <w:jc w:val="both"/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</w:pPr>
      <w:r w:rsidRPr="00F043C5"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  <w:t xml:space="preserve">Mgr. Petr Neruda, Ph.D. – kurátor Ústavu Anthropos HM MZM – </w:t>
      </w:r>
      <w:hyperlink r:id="rId10" w:history="1">
        <w:r w:rsidRPr="00F043C5">
          <w:rPr>
            <w:rFonts w:ascii="Times New Roman" w:eastAsia="Lucida Sans Unicode" w:hAnsi="Times New Roman" w:cs="Times New Roman"/>
            <w:kern w:val="3"/>
            <w:szCs w:val="24"/>
            <w:lang w:val="cs-CZ" w:eastAsia="cs-CZ"/>
          </w:rPr>
          <w:t>pneruda@mzm.cz</w:t>
        </w:r>
      </w:hyperlink>
      <w:r w:rsidRPr="00F043C5"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  <w:t>, 533 435 230</w:t>
      </w:r>
    </w:p>
    <w:p w14:paraId="5E98CAE3" w14:textId="77777777" w:rsidR="00305352" w:rsidRPr="00F043C5" w:rsidRDefault="00305352" w:rsidP="00F043C5">
      <w:pPr>
        <w:spacing w:after="0"/>
        <w:jc w:val="both"/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</w:pPr>
      <w:r w:rsidRPr="00F043C5"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  <w:t xml:space="preserve">Mgr. Eva Pánková – PR MZM, </w:t>
      </w:r>
      <w:hyperlink r:id="rId11" w:history="1">
        <w:r w:rsidRPr="00F043C5">
          <w:rPr>
            <w:rFonts w:ascii="Times New Roman" w:eastAsia="Lucida Sans Unicode" w:hAnsi="Times New Roman" w:cs="Times New Roman"/>
            <w:kern w:val="3"/>
            <w:szCs w:val="24"/>
            <w:lang w:val="cs-CZ" w:eastAsia="cs-CZ"/>
          </w:rPr>
          <w:t>epankova@mzm.cz</w:t>
        </w:r>
      </w:hyperlink>
      <w:r w:rsidRPr="00F043C5"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  <w:t>, 533 435 273, 606 738 098</w:t>
      </w:r>
    </w:p>
    <w:p w14:paraId="26AC4E64" w14:textId="77777777" w:rsidR="00305352" w:rsidRPr="00F043C5" w:rsidRDefault="00305352" w:rsidP="00F043C5">
      <w:pPr>
        <w:spacing w:after="0"/>
        <w:jc w:val="both"/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</w:pPr>
      <w:r w:rsidRPr="00F043C5">
        <w:rPr>
          <w:rFonts w:ascii="Times New Roman" w:eastAsia="Lucida Sans Unicode" w:hAnsi="Times New Roman" w:cs="Times New Roman"/>
          <w:kern w:val="3"/>
          <w:szCs w:val="24"/>
          <w:lang w:val="cs-CZ" w:eastAsia="cs-CZ"/>
        </w:rPr>
        <w:t>RNDr. Jiří Očadlík – Vice president FEI Company, 513 246 101, jana.duchanova@fei.com</w:t>
      </w:r>
    </w:p>
    <w:p w14:paraId="2AEA0960" w14:textId="77777777" w:rsidR="00C167A4" w:rsidRDefault="00C167A4" w:rsidP="00F043C5">
      <w:pPr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</w:p>
    <w:p w14:paraId="0F170CAA" w14:textId="77777777" w:rsidR="00C167A4" w:rsidRPr="00724F5D" w:rsidRDefault="00C167A4" w:rsidP="00F043C5">
      <w:pPr>
        <w:spacing w:after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</w:p>
    <w:p w14:paraId="271561F4" w14:textId="1F14E3DD" w:rsidR="00AA7E6C" w:rsidRPr="00724F5D" w:rsidRDefault="00AA7E6C" w:rsidP="00C167A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cs-CZ" w:eastAsia="cs-CZ"/>
        </w:rPr>
      </w:pPr>
    </w:p>
    <w:p w14:paraId="651FCF19" w14:textId="77777777" w:rsidR="003C6403" w:rsidRPr="00724F5D" w:rsidRDefault="003C6403" w:rsidP="00C16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3C6403" w:rsidRPr="00724F5D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F3527" w14:textId="77777777" w:rsidR="007F0080" w:rsidRDefault="007F0080" w:rsidP="00D73284">
      <w:pPr>
        <w:spacing w:after="0" w:line="240" w:lineRule="auto"/>
      </w:pPr>
      <w:r>
        <w:separator/>
      </w:r>
    </w:p>
  </w:endnote>
  <w:endnote w:type="continuationSeparator" w:id="0">
    <w:p w14:paraId="3C10F56F" w14:textId="77777777" w:rsidR="007F0080" w:rsidRDefault="007F0080" w:rsidP="00D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72916" w14:textId="77777777" w:rsidR="007F0080" w:rsidRDefault="007F0080" w:rsidP="00D73284">
      <w:pPr>
        <w:spacing w:after="0" w:line="240" w:lineRule="auto"/>
      </w:pPr>
      <w:r>
        <w:separator/>
      </w:r>
    </w:p>
  </w:footnote>
  <w:footnote w:type="continuationSeparator" w:id="0">
    <w:p w14:paraId="103F1EE1" w14:textId="77777777" w:rsidR="007F0080" w:rsidRDefault="007F0080" w:rsidP="00D7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C5C59" w14:textId="1ADE6D9E" w:rsidR="00D73284" w:rsidRDefault="00724F5D" w:rsidP="00D7328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0112D" wp14:editId="4986DD00">
              <wp:simplePos x="0" y="0"/>
              <wp:positionH relativeFrom="column">
                <wp:posOffset>-180975</wp:posOffset>
              </wp:positionH>
              <wp:positionV relativeFrom="paragraph">
                <wp:posOffset>-192405</wp:posOffset>
              </wp:positionV>
              <wp:extent cx="1381125" cy="9906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E2955" w14:textId="32765255" w:rsidR="00724F5D" w:rsidRDefault="00724F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161F5" wp14:editId="1C46E3FC">
                                <wp:extent cx="1000125" cy="923925"/>
                                <wp:effectExtent l="0" t="0" r="9525" b="9525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MZMpozit2cm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0839" cy="924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622011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14.25pt;margin-top:-15.15pt;width:108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" filled="f" stroked="f" strokeweight=".5pt">
              <v:textbox>
                <w:txbxContent>
                  <w:p w14:paraId="535E2955" w14:textId="32765255" w:rsidR="00724F5D" w:rsidRDefault="00724F5D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004161F5" wp14:editId="1C46E3FC">
                          <wp:extent cx="1000125" cy="923925"/>
                          <wp:effectExtent l="0" t="0" r="9525" b="9525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MZMpozit2cm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0839" cy="924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3284">
      <w:rPr>
        <w:noProof/>
      </w:rPr>
      <w:t xml:space="preserve">                                                                       </w:t>
    </w:r>
    <w:r w:rsidR="00D73284">
      <w:rPr>
        <w:noProof/>
      </w:rPr>
      <w:drawing>
        <wp:inline distT="0" distB="0" distL="0" distR="0" wp14:anchorId="20AF9548" wp14:editId="0AFEA18F">
          <wp:extent cx="1979930" cy="686626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Print_Size2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609" cy="69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29304" w14:textId="77777777" w:rsidR="00D73284" w:rsidRDefault="00D73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51A75"/>
    <w:multiLevelType w:val="hybridMultilevel"/>
    <w:tmpl w:val="EC68DBA6"/>
    <w:lvl w:ilvl="0" w:tplc="33B63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B1"/>
    <w:rsid w:val="00064C76"/>
    <w:rsid w:val="00074021"/>
    <w:rsid w:val="000777A3"/>
    <w:rsid w:val="00091AB1"/>
    <w:rsid w:val="000C7CB2"/>
    <w:rsid w:val="0012409C"/>
    <w:rsid w:val="00171F99"/>
    <w:rsid w:val="001A78B7"/>
    <w:rsid w:val="00305352"/>
    <w:rsid w:val="0033246B"/>
    <w:rsid w:val="00367A95"/>
    <w:rsid w:val="003B68F3"/>
    <w:rsid w:val="003C2C67"/>
    <w:rsid w:val="003C6403"/>
    <w:rsid w:val="003C7619"/>
    <w:rsid w:val="003D4983"/>
    <w:rsid w:val="003F6168"/>
    <w:rsid w:val="004378C8"/>
    <w:rsid w:val="00483CB2"/>
    <w:rsid w:val="004E5C5F"/>
    <w:rsid w:val="00550C33"/>
    <w:rsid w:val="00594ADD"/>
    <w:rsid w:val="00645426"/>
    <w:rsid w:val="006704B6"/>
    <w:rsid w:val="006C4C04"/>
    <w:rsid w:val="00720530"/>
    <w:rsid w:val="00724F5D"/>
    <w:rsid w:val="00747EB9"/>
    <w:rsid w:val="00751643"/>
    <w:rsid w:val="00751BFD"/>
    <w:rsid w:val="00752F10"/>
    <w:rsid w:val="00763EAA"/>
    <w:rsid w:val="007F0080"/>
    <w:rsid w:val="00821ECE"/>
    <w:rsid w:val="00840409"/>
    <w:rsid w:val="00854CAA"/>
    <w:rsid w:val="00870C3C"/>
    <w:rsid w:val="00987565"/>
    <w:rsid w:val="009A2C6F"/>
    <w:rsid w:val="009C070D"/>
    <w:rsid w:val="009D39A6"/>
    <w:rsid w:val="009F3B81"/>
    <w:rsid w:val="00A04E89"/>
    <w:rsid w:val="00A5683F"/>
    <w:rsid w:val="00AA7E6C"/>
    <w:rsid w:val="00AD127D"/>
    <w:rsid w:val="00AD2E98"/>
    <w:rsid w:val="00B2376A"/>
    <w:rsid w:val="00B70A80"/>
    <w:rsid w:val="00C167A4"/>
    <w:rsid w:val="00C85EEB"/>
    <w:rsid w:val="00C93121"/>
    <w:rsid w:val="00D15397"/>
    <w:rsid w:val="00D55B7F"/>
    <w:rsid w:val="00D61D5C"/>
    <w:rsid w:val="00D70F16"/>
    <w:rsid w:val="00D73284"/>
    <w:rsid w:val="00D972F6"/>
    <w:rsid w:val="00DD7191"/>
    <w:rsid w:val="00DF5E93"/>
    <w:rsid w:val="00E27031"/>
    <w:rsid w:val="00E42660"/>
    <w:rsid w:val="00E517FE"/>
    <w:rsid w:val="00E6487F"/>
    <w:rsid w:val="00EA0F4C"/>
    <w:rsid w:val="00F043C5"/>
    <w:rsid w:val="00FE6EE3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777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B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84"/>
  </w:style>
  <w:style w:type="paragraph" w:styleId="Footer">
    <w:name w:val="footer"/>
    <w:basedOn w:val="Normal"/>
    <w:link w:val="FooterChar"/>
    <w:uiPriority w:val="99"/>
    <w:unhideWhenUsed/>
    <w:rsid w:val="00D7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84"/>
  </w:style>
  <w:style w:type="character" w:styleId="Strong">
    <w:name w:val="Strong"/>
    <w:basedOn w:val="DefaultParagraphFont"/>
    <w:uiPriority w:val="22"/>
    <w:qFormat/>
    <w:rsid w:val="00483CB2"/>
    <w:rPr>
      <w:b/>
      <w:bCs/>
    </w:rPr>
  </w:style>
  <w:style w:type="paragraph" w:styleId="ListParagraph">
    <w:name w:val="List Paragraph"/>
    <w:basedOn w:val="Normal"/>
    <w:uiPriority w:val="34"/>
    <w:qFormat/>
    <w:rsid w:val="00751BFD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semiHidden/>
    <w:rsid w:val="00305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B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84"/>
  </w:style>
  <w:style w:type="paragraph" w:styleId="Footer">
    <w:name w:val="footer"/>
    <w:basedOn w:val="Normal"/>
    <w:link w:val="FooterChar"/>
    <w:uiPriority w:val="99"/>
    <w:unhideWhenUsed/>
    <w:rsid w:val="00D7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84"/>
  </w:style>
  <w:style w:type="character" w:styleId="Strong">
    <w:name w:val="Strong"/>
    <w:basedOn w:val="DefaultParagraphFont"/>
    <w:uiPriority w:val="22"/>
    <w:qFormat/>
    <w:rsid w:val="00483CB2"/>
    <w:rPr>
      <w:b/>
      <w:bCs/>
    </w:rPr>
  </w:style>
  <w:style w:type="paragraph" w:styleId="ListParagraph">
    <w:name w:val="List Paragraph"/>
    <w:basedOn w:val="Normal"/>
    <w:uiPriority w:val="34"/>
    <w:qFormat/>
    <w:rsid w:val="00751BFD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semiHidden/>
    <w:rsid w:val="00305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ankova@mzm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neruda@mz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liva@mz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A0F1-5B9B-43B1-9CBC-F447C499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FEI Company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Jankova, Marketa</dc:creator>
  <cp:lastModifiedBy>Jankova, Marketa</cp:lastModifiedBy>
  <cp:revision>6</cp:revision>
  <cp:lastPrinted>2016-02-03T08:36:00Z</cp:lastPrinted>
  <dcterms:created xsi:type="dcterms:W3CDTF">2016-09-06T11:27:00Z</dcterms:created>
  <dcterms:modified xsi:type="dcterms:W3CDTF">2016-09-07T10:58:00Z</dcterms:modified>
</cp:coreProperties>
</file>